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E742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5534E9">
        <w:rPr>
          <w:rFonts w:ascii="Times New Roman" w:hAnsi="Times New Roman" w:cs="Times New Roman"/>
          <w:lang w:val="pt-BR"/>
        </w:rPr>
        <w:t> </w:t>
      </w:r>
    </w:p>
    <w:p w14:paraId="6B4C7165" w14:textId="77777777" w:rsidR="001B5193" w:rsidRPr="005534E9" w:rsidRDefault="00C716ED" w:rsidP="001B519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Ministerul Afacerilor Externe al Republicii Moldova</w:t>
      </w:r>
    </w:p>
    <w:p w14:paraId="34E8D267" w14:textId="0971BC2B" w:rsidR="00C716ED" w:rsidRPr="005534E9" w:rsidRDefault="00C716ED" w:rsidP="001B519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anunță  concurs pentru  ocuparea funcțiilor  publice / diplomatice  vacante:</w:t>
      </w:r>
    </w:p>
    <w:p w14:paraId="62DC83F8" w14:textId="63C5A8F9" w:rsidR="00C716ED" w:rsidRPr="005534E9" w:rsidRDefault="001B5193" w:rsidP="001B5193">
      <w:pPr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Direcția cooperare bilaterală</w:t>
      </w:r>
    </w:p>
    <w:p w14:paraId="40BFB708" w14:textId="41747289" w:rsidR="00C716ED" w:rsidRPr="005534E9" w:rsidRDefault="00C716ED" w:rsidP="001B5193">
      <w:pPr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Secția Europa Occidentală, Centrală și de Sud-Est</w:t>
      </w:r>
    </w:p>
    <w:p w14:paraId="6E1DC286" w14:textId="20A9B306" w:rsidR="00C716ED" w:rsidRPr="005534E9" w:rsidRDefault="00C716ED" w:rsidP="001B5193">
      <w:pPr>
        <w:jc w:val="center"/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  <w:u w:val="single"/>
          <w:lang w:val="ro-RO"/>
        </w:rPr>
        <w:t>Atașat - 1 post</w:t>
      </w:r>
    </w:p>
    <w:p w14:paraId="06BC764F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07137045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u w:val="single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Sarcinile de bază:</w:t>
      </w:r>
      <w:r w:rsidRPr="005534E9">
        <w:rPr>
          <w:rFonts w:ascii="Times New Roman" w:hAnsi="Times New Roman" w:cs="Times New Roman"/>
          <w:sz w:val="26"/>
          <w:szCs w:val="26"/>
          <w:u w:val="single"/>
        </w:rPr>
        <w:t> </w:t>
      </w:r>
    </w:p>
    <w:p w14:paraId="0FC6CA0E" w14:textId="77777777" w:rsidR="00C716ED" w:rsidRPr="00F23046" w:rsidRDefault="00C716ED" w:rsidP="00C716E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Monitorizează evoluția relațiilor bilaterale cu statele de responsabilitate din cadrul Secției.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58423D65" w14:textId="77777777" w:rsidR="00C716ED" w:rsidRPr="00F23046" w:rsidRDefault="00C716ED" w:rsidP="00C716E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Elaborează corespondența necesară în realizarea cooperării bilaterale cu statele de responsabilitate din cadrul Secției.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03A4262" w14:textId="77777777" w:rsidR="00C716ED" w:rsidRPr="005534E9" w:rsidRDefault="00C716ED" w:rsidP="00C716ED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Asistă conducerea la întrevederi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reuniuni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elaborează rapoarte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note informative/de convorbire urmare acestora.</w:t>
      </w: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56115249" w14:textId="77777777" w:rsidR="00C716ED" w:rsidRPr="005534E9" w:rsidRDefault="00C716ED" w:rsidP="00C716ED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Elaborează materiale informative pentru întrevederi, mesaje oficiale, discursuri, comunicate de presă etc. și asigură traducerea documentelor.</w:t>
      </w: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718EAC8F" w14:textId="77777777" w:rsidR="00C716ED" w:rsidRPr="00F23046" w:rsidRDefault="00C716ED" w:rsidP="00C716ED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Menține contactul permanent și asigură buna cooperare cu ministerele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instituțiile de stat, misiunile diplomatice ale/în Republica Moldova în vederea realizării obiectivelor.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396AB286" w14:textId="77777777" w:rsidR="00C101ED" w:rsidRPr="005534E9" w:rsidRDefault="00C716ED" w:rsidP="00C101E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  <w:r w:rsidR="00C101ED" w:rsidRPr="005534E9">
        <w:rPr>
          <w:rFonts w:ascii="Times New Roman" w:hAnsi="Times New Roman" w:cs="Times New Roman"/>
          <w:b/>
          <w:i/>
          <w:sz w:val="26"/>
          <w:szCs w:val="26"/>
          <w:lang w:val="pt-BR"/>
        </w:rPr>
        <w:t>Salariul funcţiei:</w:t>
      </w:r>
    </w:p>
    <w:p w14:paraId="63F27709" w14:textId="3F315F36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Salariul funcției: </w:t>
      </w:r>
      <w:r w:rsidRPr="005534E9">
        <w:rPr>
          <w:rFonts w:ascii="Times New Roman" w:hAnsi="Times New Roman" w:cs="Times New Roman"/>
          <w:sz w:val="26"/>
          <w:szCs w:val="26"/>
          <w:lang w:val="ro-MD"/>
        </w:rPr>
        <w:t xml:space="preserve">Conform prevederilor Legii nr. 270/2018 privind sistemul de unitar de salarizare în sectorul bugetar, </w:t>
      </w:r>
      <w:r w:rsidRPr="005534E9">
        <w:rPr>
          <w:rFonts w:ascii="Times New Roman" w:hAnsi="Times New Roman" w:cs="Times New Roman"/>
          <w:sz w:val="26"/>
          <w:szCs w:val="26"/>
          <w:lang w:val="pt-BR"/>
        </w:rPr>
        <w:t>cuantumul salariului brut</w:t>
      </w:r>
      <w:r w:rsidRPr="005534E9">
        <w:rPr>
          <w:rFonts w:ascii="Times New Roman" w:hAnsi="Times New Roman" w:cs="Times New Roman"/>
          <w:sz w:val="26"/>
          <w:szCs w:val="26"/>
          <w:lang w:val="ro-MD"/>
        </w:rPr>
        <w:t>: 1</w:t>
      </w:r>
      <w:r w:rsidR="00C101ED" w:rsidRPr="005534E9">
        <w:rPr>
          <w:rFonts w:ascii="Times New Roman" w:hAnsi="Times New Roman" w:cs="Times New Roman"/>
          <w:sz w:val="26"/>
          <w:szCs w:val="26"/>
          <w:lang w:val="ro-MD"/>
        </w:rPr>
        <w:t>0520</w:t>
      </w:r>
      <w:r w:rsidRPr="005534E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5534E9">
        <w:rPr>
          <w:rFonts w:ascii="Times New Roman" w:hAnsi="Times New Roman" w:cs="Times New Roman"/>
          <w:sz w:val="26"/>
          <w:szCs w:val="26"/>
          <w:lang w:val="pt-BR"/>
        </w:rPr>
        <w:t>lei. </w:t>
      </w:r>
    </w:p>
    <w:p w14:paraId="67CD7DC4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5534E9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515EBED0" w14:textId="4FB26E90" w:rsidR="00C716ED" w:rsidRPr="005534E9" w:rsidRDefault="00C716ED" w:rsidP="00487433">
      <w:pPr>
        <w:jc w:val="center"/>
        <w:rPr>
          <w:rFonts w:ascii="Times New Roman" w:hAnsi="Times New Roman" w:cs="Times New Roman"/>
          <w:sz w:val="26"/>
          <w:szCs w:val="26"/>
          <w:u w:val="single"/>
          <w:lang w:val="it-IT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Condițiile de participare la concurs:</w:t>
      </w:r>
    </w:p>
    <w:p w14:paraId="3ACB2002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u w:val="single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Condiții de bază:</w:t>
      </w:r>
      <w:r w:rsidRPr="005534E9">
        <w:rPr>
          <w:rFonts w:ascii="Times New Roman" w:hAnsi="Times New Roman" w:cs="Times New Roman"/>
          <w:sz w:val="26"/>
          <w:szCs w:val="26"/>
          <w:u w:val="single"/>
        </w:rPr>
        <w:t> </w:t>
      </w:r>
    </w:p>
    <w:p w14:paraId="1D97BC87" w14:textId="77777777" w:rsidR="00C716ED" w:rsidRPr="005534E9" w:rsidRDefault="00C716ED" w:rsidP="00C716ED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Cetățenia Republicii Moldova; </w:t>
      </w: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61284BAD" w14:textId="238EF12D" w:rsidR="00C716ED" w:rsidRPr="005534E9" w:rsidRDefault="00C716ED" w:rsidP="00C716ED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ro-RO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Cunoașterea limbii române și a limbii engleze </w:t>
      </w:r>
      <w:r w:rsidRPr="005534E9">
        <w:rPr>
          <w:rFonts w:ascii="Times New Roman" w:hAnsi="Times New Roman" w:cs="Times New Roman"/>
          <w:sz w:val="26"/>
          <w:szCs w:val="26"/>
          <w:u w:val="single"/>
          <w:lang w:val="ro-RO"/>
        </w:rPr>
        <w:t xml:space="preserve">(nivel </w:t>
      </w:r>
      <w:r w:rsidR="00487433" w:rsidRPr="005534E9">
        <w:rPr>
          <w:rFonts w:ascii="Times New Roman" w:hAnsi="Times New Roman" w:cs="Times New Roman"/>
          <w:sz w:val="26"/>
          <w:szCs w:val="26"/>
          <w:u w:val="single"/>
          <w:lang w:val="ro-RO"/>
        </w:rPr>
        <w:t xml:space="preserve">B1 sau </w:t>
      </w:r>
      <w:r w:rsidRPr="005534E9">
        <w:rPr>
          <w:rFonts w:ascii="Times New Roman" w:hAnsi="Times New Roman" w:cs="Times New Roman"/>
          <w:sz w:val="26"/>
          <w:szCs w:val="26"/>
          <w:u w:val="single"/>
          <w:lang w:val="ro-RO"/>
        </w:rPr>
        <w:t>B2)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>. Cunoașterea altor limbi străine, în particular a limbilor franceză sau germană (nivel B1/B2), va fi considerată un avantaj. Prezentarea certificatelor de confirmare este obligatorie;  </w:t>
      </w:r>
    </w:p>
    <w:p w14:paraId="61EC145F" w14:textId="77777777" w:rsidR="00C716ED" w:rsidRPr="005534E9" w:rsidRDefault="00C716ED" w:rsidP="00C716ED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Lipsa antecedentelor penale sau altor restricții legale de a ocupa funcții publice.</w:t>
      </w:r>
      <w:r w:rsidRPr="005534E9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149106A2" w14:textId="18BCC376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u w:val="single"/>
          <w:lang w:val="pt-BR"/>
        </w:rPr>
      </w:pPr>
      <w:r w:rsidRPr="005534E9">
        <w:rPr>
          <w:rFonts w:ascii="Times New Roman" w:hAnsi="Times New Roman" w:cs="Times New Roman"/>
          <w:sz w:val="26"/>
          <w:szCs w:val="26"/>
          <w:lang w:val="pt-BR"/>
        </w:rPr>
        <w:lastRenderedPageBreak/>
        <w:t> </w:t>
      </w:r>
      <w:r w:rsidRPr="005534E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Cerințe specifice:</w:t>
      </w:r>
      <w:r w:rsidRPr="005534E9">
        <w:rPr>
          <w:rFonts w:ascii="Times New Roman" w:hAnsi="Times New Roman" w:cs="Times New Roman"/>
          <w:sz w:val="26"/>
          <w:szCs w:val="26"/>
          <w:u w:val="single"/>
          <w:lang w:val="pt-BR"/>
        </w:rPr>
        <w:t> </w:t>
      </w:r>
    </w:p>
    <w:p w14:paraId="1AB83FC8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5534E9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2973A7B6" w14:textId="3A6FF99C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Studii:</w:t>
      </w:r>
      <w:r w:rsidRPr="005534E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>Superioare de licență și de masterat în domenii precum: relații internaționale, relații economice internaționale, studii europene, științe politice, drept și drept internațional.</w:t>
      </w:r>
      <w:r w:rsidRPr="005534E9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70D1B4B4" w14:textId="1E32371C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pt-BR"/>
        </w:rPr>
        <w:t> </w:t>
      </w: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Orice informație cu privire la experiența profesională obținută este binevenită.</w:t>
      </w: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2463DE53" w14:textId="77777777" w:rsidR="00E51A23" w:rsidRPr="005534E9" w:rsidRDefault="00C716ED" w:rsidP="00E51A23">
      <w:pPr>
        <w:jc w:val="both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  <w:r w:rsidR="00E51A23" w:rsidRPr="005534E9">
        <w:rPr>
          <w:rFonts w:ascii="Times New Roman" w:hAnsi="Times New Roman" w:cs="Times New Roman"/>
          <w:b/>
          <w:iCs/>
          <w:sz w:val="26"/>
          <w:szCs w:val="26"/>
          <w:lang w:val="pt-BR"/>
        </w:rPr>
        <w:t>Disponibilitate pentru efectuarea deplasărilor de serviciu (de lungă şi scurtă durată).</w:t>
      </w:r>
    </w:p>
    <w:p w14:paraId="1996C87D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Cunoștințe: </w:t>
      </w: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489628CB" w14:textId="77777777" w:rsidR="00C716ED" w:rsidRPr="00F23046" w:rsidRDefault="00C716ED" w:rsidP="00C716ED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Cunoașterea legislației Republicii Moldova, a legislației, instituțiilor și politicilor Uniunii Europene; 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43A7D53A" w14:textId="77777777" w:rsidR="00C716ED" w:rsidRPr="005534E9" w:rsidRDefault="00C716ED" w:rsidP="00C716ED">
      <w:pPr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Utilizarea calculatorului: Word, Excel, PowerPoint, Internet.</w:t>
      </w: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5264CDBF" w14:textId="77777777" w:rsidR="00771BDA" w:rsidRPr="00F23046" w:rsidRDefault="00C716ED" w:rsidP="00771BDA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Abilități:</w:t>
      </w:r>
      <w:r w:rsidRPr="005534E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="00771BDA" w:rsidRPr="00F23046">
        <w:rPr>
          <w:rFonts w:ascii="Times New Roman" w:hAnsi="Times New Roman" w:cs="Times New Roman"/>
          <w:sz w:val="26"/>
          <w:szCs w:val="26"/>
          <w:lang w:val="it-IT"/>
        </w:rPr>
        <w:t xml:space="preserve">Comunicare eficientă verbală și scrisă, lucru în echipă, adaptabilitate și rezistență la stres. </w:t>
      </w:r>
    </w:p>
    <w:p w14:paraId="11E04FCD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Atitudini / Comportamente</w:t>
      </w:r>
      <w:r w:rsidRPr="005534E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: 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Spirit de inițiativă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de echipă, creativitate, flexibilitate, disciplină,  responsabilitate, auto-perfecționare profesională continuă.  </w:t>
      </w: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7F728BA5" w14:textId="659895A6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Persoanele interesate urmează să depună dosarul prin e-mail (</w:t>
      </w:r>
      <w:hyperlink r:id="rId5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sruc@mfa.gov.md</w:t>
        </w:r>
      </w:hyperlink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),  prin </w:t>
      </w:r>
      <w:proofErr w:type="spellStart"/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poştă</w:t>
      </w:r>
      <w:proofErr w:type="spellEnd"/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/ personal  - 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str. 31 August 1989, nr. 80, MD 2012, mun.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Chişinău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68643ADD" w14:textId="1DDDA65E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</w:p>
    <w:p w14:paraId="68332F49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Dosarul de concurs va conține </w:t>
      </w:r>
      <w:r w:rsidRPr="005534E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următoarele:</w:t>
      </w:r>
      <w:r w:rsidRPr="005534E9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0EA9FF28" w14:textId="77777777" w:rsidR="00C716ED" w:rsidRPr="005534E9" w:rsidRDefault="00C716ED" w:rsidP="00C716ED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formularul de participare  (se anexează la prezentul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anunţ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>);</w:t>
      </w:r>
      <w:r w:rsidRPr="005534E9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2AAE49C5" w14:textId="77777777" w:rsidR="00C716ED" w:rsidRPr="005534E9" w:rsidRDefault="00C716ED" w:rsidP="00C716ED">
      <w:pPr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* copia buletinului de identitate;</w:t>
      </w: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7B50D2CB" w14:textId="77777777" w:rsidR="00C716ED" w:rsidRPr="005534E9" w:rsidRDefault="00C716ED" w:rsidP="00C716ED">
      <w:pPr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* copiile diplomelor de studii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ale certificatelor de absolvire a cursurilor de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perfecţionare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profesională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>/sau de specializare;</w:t>
      </w:r>
      <w:r w:rsidRPr="005534E9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66B3B9D8" w14:textId="77777777" w:rsidR="00C716ED" w:rsidRPr="005534E9" w:rsidRDefault="00C716ED" w:rsidP="00C716ED">
      <w:pPr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certificatul medical (</w:t>
      </w:r>
      <w:r w:rsidRPr="005534E9">
        <w:rPr>
          <w:rFonts w:ascii="Times New Roman" w:hAnsi="Times New Roman" w:cs="Times New Roman"/>
          <w:sz w:val="26"/>
          <w:szCs w:val="26"/>
          <w:u w:val="single"/>
          <w:lang w:val="ro-RO"/>
        </w:rPr>
        <w:t>forma 086-2/e);</w:t>
      </w: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17ED764D" w14:textId="77777777" w:rsidR="00C716ED" w:rsidRPr="005534E9" w:rsidRDefault="00C716ED" w:rsidP="00C716ED">
      <w:pPr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cazierul judiciar, care poate fi înlocuit cu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u w:val="single"/>
          <w:lang w:val="ro-RO"/>
        </w:rPr>
        <w:t>declaraţia</w:t>
      </w:r>
      <w:proofErr w:type="spellEnd"/>
      <w:r w:rsidRPr="005534E9">
        <w:rPr>
          <w:rFonts w:ascii="Times New Roman" w:hAnsi="Times New Roman" w:cs="Times New Roman"/>
          <w:sz w:val="26"/>
          <w:szCs w:val="26"/>
          <w:u w:val="single"/>
          <w:lang w:val="ro-RO"/>
        </w:rPr>
        <w:t xml:space="preserve"> pe proprie răspundere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. În acest caz, candidatul are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obligaţia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să completeze dosarul de concurs cu originalul documentului în termen maximum de 10 zile calendaristice de la data la care a fost declarat învingător sub, sub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sancţiunea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neemiterii actului administrativ de numire;</w:t>
      </w: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0BE031DB" w14:textId="77777777" w:rsidR="00C716ED" w:rsidRPr="005534E9" w:rsidRDefault="00C716ED" w:rsidP="00C716ED">
      <w:pPr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CV-ul candidatului;</w:t>
      </w: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04EA497A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* </w:t>
      </w:r>
      <w:r w:rsidRPr="005534E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Copiile documentelor se prezintă împreună cu documentele originale</w:t>
      </w:r>
      <w:r w:rsidRPr="005534E9">
        <w:rPr>
          <w:rFonts w:ascii="Times New Roman" w:hAnsi="Times New Roman" w:cs="Times New Roman"/>
          <w:i/>
          <w:iCs/>
          <w:sz w:val="26"/>
          <w:szCs w:val="26"/>
          <w:u w:val="single"/>
          <w:lang w:val="ro-RO"/>
        </w:rPr>
        <w:t xml:space="preserve"> </w:t>
      </w:r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>pentru a verifica veridicitatea lor</w:t>
      </w:r>
      <w:r w:rsidRPr="005534E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>sau</w:t>
      </w:r>
      <w:r w:rsidRPr="005534E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pot fi autentificate la notar. În </w:t>
      </w:r>
      <w:proofErr w:type="spellStart"/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>situaţia</w:t>
      </w:r>
      <w:proofErr w:type="spellEnd"/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 în care dosarul de </w:t>
      </w:r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lastRenderedPageBreak/>
        <w:t xml:space="preserve">concurs se depune prin </w:t>
      </w:r>
      <w:proofErr w:type="spellStart"/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>poştă</w:t>
      </w:r>
      <w:proofErr w:type="spellEnd"/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, documente în original se vor prezenta la data </w:t>
      </w:r>
      <w:proofErr w:type="spellStart"/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>desfăşurării</w:t>
      </w:r>
      <w:proofErr w:type="spellEnd"/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 probei scrise a concursului (candidatul se prezintă cu 30 min înainte de ora </w:t>
      </w:r>
      <w:proofErr w:type="spellStart"/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>anunţată</w:t>
      </w:r>
      <w:proofErr w:type="spellEnd"/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), sub </w:t>
      </w:r>
      <w:proofErr w:type="spellStart"/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>sancţiunea</w:t>
      </w:r>
      <w:proofErr w:type="spellEnd"/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 respingerii dosarului de concurs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>. 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2B1187EA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Termenul limită de depunere a dosarului pentru participare la concurs: 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5A97F77E" w14:textId="0B1F1371" w:rsidR="00C716ED" w:rsidRPr="00F23046" w:rsidRDefault="006520E9" w:rsidP="00C716ED">
      <w:pPr>
        <w:rPr>
          <w:rFonts w:ascii="Times New Roman" w:hAnsi="Times New Roman" w:cs="Times New Roman"/>
          <w:color w:val="EE0000"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08</w:t>
      </w:r>
      <w:r w:rsidR="00E01179" w:rsidRPr="00E01179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 xml:space="preserve"> </w:t>
      </w:r>
      <w:r w:rsidR="00C716ED" w:rsidRPr="00E01179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septembrie 2025, ora 1</w:t>
      </w:r>
      <w:r w:rsidR="008B2574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6</w:t>
      </w:r>
      <w:r w:rsidR="00C716ED" w:rsidRPr="00E01179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:</w:t>
      </w:r>
      <w:r w:rsidR="008B2574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0</w:t>
      </w:r>
      <w:r w:rsidR="00C716ED" w:rsidRPr="00E01179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0.</w:t>
      </w:r>
      <w:r w:rsidR="00C716ED" w:rsidRPr="00F23046">
        <w:rPr>
          <w:rFonts w:ascii="Times New Roman" w:hAnsi="Times New Roman" w:cs="Times New Roman"/>
          <w:color w:val="EE0000"/>
          <w:sz w:val="26"/>
          <w:szCs w:val="26"/>
          <w:lang w:val="it-IT"/>
        </w:rPr>
        <w:t> </w:t>
      </w:r>
    </w:p>
    <w:p w14:paraId="12FE94A9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Contacte: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Secția resurse umane și contencios, tel. 022</w:t>
      </w:r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578281, e-mail </w:t>
      </w:r>
      <w:hyperlink r:id="rId6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sruc@mfa.gov.md</w:t>
        </w:r>
      </w:hyperlink>
      <w:r w:rsidRPr="005534E9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69A0754C" w14:textId="05BBA04D" w:rsidR="00C716ED" w:rsidRPr="00F23046" w:rsidRDefault="00C716ED" w:rsidP="00346FC7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346FC7">
        <w:rPr>
          <w:rFonts w:ascii="Times New Roman" w:hAnsi="Times New Roman" w:cs="Times New Roman"/>
          <w:sz w:val="26"/>
          <w:szCs w:val="26"/>
          <w:lang w:val="ro-RO"/>
        </w:rPr>
        <w:t>Concursul va fi organizat</w:t>
      </w:r>
      <w:r w:rsidRPr="00346FC7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  </w:t>
      </w:r>
      <w:r w:rsidRPr="00346FC7">
        <w:rPr>
          <w:rFonts w:ascii="Times New Roman" w:hAnsi="Times New Roman" w:cs="Times New Roman"/>
          <w:sz w:val="26"/>
          <w:szCs w:val="26"/>
          <w:lang w:val="ro-RO"/>
        </w:rPr>
        <w:t xml:space="preserve">în conformitate cu Regulamentul „Cu privire la ocuparea funcției publice vacante prin concurs”, aprobat prin Hotărârea Guvernului nr. 201 din 11 martie 2009 </w:t>
      </w:r>
      <w:proofErr w:type="spellStart"/>
      <w:r w:rsidRPr="00346FC7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346FC7">
        <w:rPr>
          <w:rFonts w:ascii="Times New Roman" w:hAnsi="Times New Roman" w:cs="Times New Roman"/>
          <w:sz w:val="26"/>
          <w:szCs w:val="26"/>
          <w:lang w:val="ro-RO"/>
        </w:rPr>
        <w:t xml:space="preserve"> va include: examinarea Dosarelor depuse, proba scrisă </w:t>
      </w:r>
      <w:proofErr w:type="spellStart"/>
      <w:r w:rsidRPr="00346FC7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346FC7">
        <w:rPr>
          <w:rFonts w:ascii="Times New Roman" w:hAnsi="Times New Roman" w:cs="Times New Roman"/>
          <w:sz w:val="26"/>
          <w:szCs w:val="26"/>
          <w:lang w:val="ro-RO"/>
        </w:rPr>
        <w:t xml:space="preserve"> interviul.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3FDDAAD7" w14:textId="349CFDA6" w:rsidR="00C716ED" w:rsidRPr="005534E9" w:rsidRDefault="00C716ED" w:rsidP="00346FC7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>În cadrul probei scrise</w:t>
      </w:r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se va aprecia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nivelul cunoașterii limbilor străine de către candidații la post.</w:t>
      </w: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35EFDDD6" w14:textId="70B588E5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Notă: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Lista candidaților admiși la concurs, informația despre data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ora desfășurării probei scrise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a interviului vor fi plasate pe pagina web a MAE</w:t>
      </w:r>
      <w:r w:rsidR="00E0117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hyperlink r:id="rId7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www.mfa.gov.md</w:t>
        </w:r>
      </w:hyperlink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, precum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va fi adusă la cunoștința fiecărui candidat </w:t>
      </w:r>
      <w:r w:rsidRPr="005534E9">
        <w:rPr>
          <w:rFonts w:ascii="Times New Roman" w:hAnsi="Times New Roman" w:cs="Times New Roman"/>
          <w:i/>
          <w:iCs/>
          <w:sz w:val="26"/>
          <w:szCs w:val="26"/>
          <w:lang w:val="ro-RO"/>
        </w:rPr>
        <w:t>admis</w:t>
      </w: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la proba scrisă / la interviul. </w:t>
      </w: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4E1E2B84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u w:val="single"/>
          <w:lang w:val="it-IT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 xml:space="preserve">Cadrul normativ </w:t>
      </w:r>
      <w:proofErr w:type="spellStart"/>
      <w:r w:rsidRPr="005534E9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>şi</w:t>
      </w:r>
      <w:proofErr w:type="spellEnd"/>
      <w:r w:rsidRPr="005534E9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 xml:space="preserve"> bibliografia în baza cărora vor fi formulate întrebările pentru proba scrisă </w:t>
      </w:r>
      <w:proofErr w:type="spellStart"/>
      <w:r w:rsidRPr="005534E9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>şi</w:t>
      </w:r>
      <w:proofErr w:type="spellEnd"/>
      <w:r w:rsidRPr="005534E9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 xml:space="preserve"> interviu:</w:t>
      </w:r>
      <w:r w:rsidRPr="005534E9">
        <w:rPr>
          <w:rFonts w:ascii="Times New Roman" w:hAnsi="Times New Roman" w:cs="Times New Roman"/>
          <w:sz w:val="26"/>
          <w:szCs w:val="26"/>
          <w:u w:val="single"/>
          <w:lang w:val="it-IT"/>
        </w:rPr>
        <w:t> </w:t>
      </w:r>
    </w:p>
    <w:p w14:paraId="76783972" w14:textId="77777777" w:rsidR="00C716ED" w:rsidRPr="005534E9" w:rsidRDefault="00C716ED" w:rsidP="00C716ED">
      <w:pPr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Constituția Republicii Moldova</w:t>
      </w: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7D40CA17" w14:textId="77777777" w:rsidR="00C716ED" w:rsidRPr="005534E9" w:rsidRDefault="00C716ED" w:rsidP="00C716ED">
      <w:pPr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Programul de activitate al Guvernului</w:t>
      </w: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3995C1FA" w14:textId="77777777" w:rsidR="00C716ED" w:rsidRPr="005534E9" w:rsidRDefault="00C716ED" w:rsidP="00C716ED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Convenția de la Viena cu privire la relațiile diplomatice din 18.04.1961;</w:t>
      </w: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413F63C5" w14:textId="77777777" w:rsidR="00C716ED" w:rsidRPr="005534E9" w:rsidRDefault="00C716ED" w:rsidP="00C716ED">
      <w:pPr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Convenția de la Viena cu privire la relațiile  consulare, din 24.04.1963;</w:t>
      </w: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37E34F23" w14:textId="77777777" w:rsidR="00C716ED" w:rsidRPr="005534E9" w:rsidRDefault="00C716ED" w:rsidP="00C716ED">
      <w:pPr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5534E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Acordul de Asociere RM-UE, din 27.06.2014</w:t>
      </w:r>
      <w:r w:rsidRPr="005534E9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265FD200" w14:textId="77777777" w:rsidR="00C716ED" w:rsidRPr="005534E9" w:rsidRDefault="00C716ED" w:rsidP="00C716ED">
      <w:pPr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Rapoarte de Progres elaborate de SEAE privind Politica Europeană de Vecinătate și RM </w:t>
      </w:r>
      <w:hyperlink r:id="rId8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MD"/>
          </w:rPr>
          <w:t xml:space="preserve">Association </w:t>
        </w:r>
        <w:proofErr w:type="spellStart"/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MD"/>
          </w:rPr>
          <w:t>Implementation</w:t>
        </w:r>
        <w:proofErr w:type="spellEnd"/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MD"/>
          </w:rPr>
          <w:t xml:space="preserve"> Report (</w:t>
        </w:r>
        <w:proofErr w:type="spellStart"/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MD"/>
          </w:rPr>
          <w:t>September</w:t>
        </w:r>
        <w:proofErr w:type="spellEnd"/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MD"/>
          </w:rPr>
          <w:t xml:space="preserve"> 2021) (europa.eu)</w:t>
        </w:r>
      </w:hyperlink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45080D23" w14:textId="77777777" w:rsidR="00C716ED" w:rsidRPr="005534E9" w:rsidRDefault="00C716ED" w:rsidP="00C716ED">
      <w:pPr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Rapoarte publicate de Guvernul RM:</w:t>
      </w:r>
      <w:r w:rsidRPr="005534E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hyperlink r:id="rId9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http://www.mfa.gov.md/img/docs/Raport-consolidat-implementarea-2017-PNA-AA-2017-2019.pdf</w:t>
        </w:r>
      </w:hyperlink>
      <w:r w:rsidRPr="005534E9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Pr="005534E9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60ECC7F6" w14:textId="77777777" w:rsidR="00C716ED" w:rsidRPr="005534E9" w:rsidRDefault="00C716ED" w:rsidP="00C716ED">
      <w:pPr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534E9">
        <w:rPr>
          <w:rFonts w:ascii="Times New Roman" w:hAnsi="Times New Roman" w:cs="Times New Roman"/>
          <w:sz w:val="26"/>
          <w:szCs w:val="26"/>
        </w:rPr>
        <w:t>Informațiile</w:t>
      </w:r>
      <w:proofErr w:type="spellEnd"/>
      <w:r w:rsidRPr="005534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34E9">
        <w:rPr>
          <w:rFonts w:ascii="Times New Roman" w:hAnsi="Times New Roman" w:cs="Times New Roman"/>
          <w:sz w:val="26"/>
          <w:szCs w:val="26"/>
        </w:rPr>
        <w:t>publicate</w:t>
      </w:r>
      <w:proofErr w:type="spellEnd"/>
      <w:r w:rsidRPr="005534E9">
        <w:rPr>
          <w:rFonts w:ascii="Times New Roman" w:hAnsi="Times New Roman" w:cs="Times New Roman"/>
          <w:sz w:val="26"/>
          <w:szCs w:val="26"/>
        </w:rPr>
        <w:t xml:space="preserve"> de UE </w:t>
      </w:r>
      <w:hyperlink r:id="rId10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</w:rPr>
          <w:t>The Republic of Moldova and the EU - European External Action Service (europa.eu)</w:t>
        </w:r>
      </w:hyperlink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76C016CF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Acte normative în domeniul relațiilor internaționale </w:t>
      </w:r>
      <w:proofErr w:type="spellStart"/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şi</w:t>
      </w:r>
      <w:proofErr w:type="spellEnd"/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în domeniul de specialitate (minim obligatoriu):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4237F95D" w14:textId="77777777" w:rsidR="00C716ED" w:rsidRPr="005534E9" w:rsidRDefault="00C716ED" w:rsidP="00C716ED">
      <w:pPr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Legea nr. 761/2001 cu privire la serviciul diplomatic;</w:t>
      </w: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7866297E" w14:textId="77777777" w:rsidR="00C716ED" w:rsidRPr="005534E9" w:rsidRDefault="00C716ED" w:rsidP="00C716ED">
      <w:pPr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Legea nr. 595/1999 privind tratatele internaționale ale Republicii Moldova;</w:t>
      </w: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252B645" w14:textId="77777777" w:rsidR="00C716ED" w:rsidRPr="005534E9" w:rsidRDefault="00C716ED" w:rsidP="00C716ED">
      <w:pPr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  <w:lang w:val="it-IT"/>
        </w:rPr>
      </w:pP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lastRenderedPageBreak/>
        <w:t>Hotărîrea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 de Guvern nr. 413 din 09.06.2017 pentru aprobarea Regulamentului privind birourile (secțiile) comercial-economice în cadrul misiunilor diplomatice și oficiilor consulare ale Republicii Moldova peste hotare</w:t>
      </w: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3A273355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CE91B8D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>Resurse web recomandate: </w:t>
      </w: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65D2A844" w14:textId="77777777" w:rsidR="00C716ED" w:rsidRPr="005534E9" w:rsidRDefault="00C716ED" w:rsidP="00C716ED">
      <w:pPr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Guvernul RM: </w:t>
      </w:r>
      <w:hyperlink r:id="rId11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www.gov.md</w:t>
        </w:r>
      </w:hyperlink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5D8E33CF" w14:textId="4A2D92E8" w:rsidR="00C716ED" w:rsidRPr="00F23046" w:rsidRDefault="00C716ED" w:rsidP="00C716ED">
      <w:pPr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Ministerul Afacerilor Externe al Republicii Moldova: </w:t>
      </w:r>
      <w:hyperlink r:id="rId12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www.mfa.gov.md</w:t>
        </w:r>
      </w:hyperlink>
      <w:r w:rsidRPr="005534E9">
        <w:rPr>
          <w:rFonts w:ascii="Times New Roman" w:hAnsi="Times New Roman" w:cs="Times New Roman"/>
          <w:sz w:val="26"/>
          <w:szCs w:val="26"/>
          <w:lang w:val="ro-RO"/>
        </w:rPr>
        <w:t>;  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336676C0" w14:textId="77777777" w:rsidR="00C716ED" w:rsidRPr="00F23046" w:rsidRDefault="00C716ED" w:rsidP="00C716ED">
      <w:pPr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Misiunea Republicii Moldova pe lângă UE: </w:t>
      </w:r>
      <w:hyperlink r:id="rId13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www.eumission.mfa.md</w:t>
        </w:r>
      </w:hyperlink>
      <w:r w:rsidRPr="005534E9">
        <w:rPr>
          <w:rFonts w:ascii="Times New Roman" w:hAnsi="Times New Roman" w:cs="Times New Roman"/>
          <w:sz w:val="26"/>
          <w:szCs w:val="26"/>
          <w:lang w:val="pt-BR"/>
        </w:rPr>
        <w:t> 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7CE66276" w14:textId="77777777" w:rsidR="00C716ED" w:rsidRPr="00F23046" w:rsidRDefault="00C716ED" w:rsidP="00C716ED">
      <w:pPr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Delegația UE în Republica Moldova: </w:t>
      </w:r>
      <w:hyperlink r:id="rId14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pt-BR"/>
          </w:rPr>
          <w:t>http://eeas.europa.eu/delegations/moldova/index_en.htm</w:t>
        </w:r>
      </w:hyperlink>
      <w:r w:rsidRPr="005534E9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2D5C4A58" w14:textId="77777777" w:rsidR="00C716ED" w:rsidRPr="005534E9" w:rsidRDefault="00C716ED" w:rsidP="00C716ED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>Portalul UE</w:t>
      </w:r>
      <w:r w:rsidRPr="005534E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: </w:t>
      </w:r>
      <w:hyperlink r:id="rId15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www.europa.eu</w:t>
        </w:r>
      </w:hyperlink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489CE703" w14:textId="77777777" w:rsidR="00C716ED" w:rsidRPr="00F23046" w:rsidRDefault="00C716ED" w:rsidP="00C716ED">
      <w:pPr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Portalul DG TRADE despre Republica Moldova: </w:t>
      </w:r>
      <w:hyperlink r:id="rId16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pt-BR"/>
          </w:rPr>
          <w:t>http://ec.europa.eu/trade/policy/countries-and-regions/countries/moldova/</w:t>
        </w:r>
      </w:hyperlink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46573E26" w14:textId="77777777" w:rsidR="00C716ED" w:rsidRPr="00F23046" w:rsidRDefault="00C716ED" w:rsidP="00C716ED">
      <w:pPr>
        <w:numPr>
          <w:ilvl w:val="0"/>
          <w:numId w:val="35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Portalul de acces la legislația UE – </w:t>
      </w:r>
      <w:proofErr w:type="spellStart"/>
      <w:r w:rsidRPr="005534E9">
        <w:rPr>
          <w:rFonts w:ascii="Times New Roman" w:hAnsi="Times New Roman" w:cs="Times New Roman"/>
          <w:sz w:val="26"/>
          <w:szCs w:val="26"/>
          <w:lang w:val="ro-RO"/>
        </w:rPr>
        <w:t>EurLex</w:t>
      </w:r>
      <w:proofErr w:type="spellEnd"/>
      <w:r w:rsidRPr="005534E9">
        <w:rPr>
          <w:rFonts w:ascii="Times New Roman" w:hAnsi="Times New Roman" w:cs="Times New Roman"/>
          <w:sz w:val="26"/>
          <w:szCs w:val="26"/>
          <w:lang w:val="ro-RO"/>
        </w:rPr>
        <w:t xml:space="preserve">: </w:t>
      </w:r>
      <w:hyperlink r:id="rId17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www.eur-lex.europa.eu</w:t>
        </w:r>
      </w:hyperlink>
      <w:r w:rsidRPr="005534E9">
        <w:rPr>
          <w:rFonts w:ascii="Times New Roman" w:hAnsi="Times New Roman" w:cs="Times New Roman"/>
          <w:sz w:val="26"/>
          <w:szCs w:val="26"/>
          <w:lang w:val="fr-FR"/>
        </w:rPr>
        <w:t> </w:t>
      </w: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1BF80C67" w14:textId="77777777" w:rsidR="00C716ED" w:rsidRPr="00F23046" w:rsidRDefault="00C716ED" w:rsidP="00C716ED">
      <w:pPr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5534E9">
        <w:rPr>
          <w:rFonts w:ascii="Times New Roman" w:hAnsi="Times New Roman" w:cs="Times New Roman"/>
          <w:sz w:val="26"/>
          <w:szCs w:val="26"/>
          <w:lang w:val="pt-BR"/>
        </w:rPr>
        <w:t xml:space="preserve">Informația despre sectoarele strategice ale Republicii Moldova </w:t>
      </w:r>
      <w:hyperlink r:id="rId18" w:tgtFrame="_blank" w:history="1">
        <w:r w:rsidRPr="005534E9">
          <w:rPr>
            <w:rStyle w:val="Hyperlink"/>
            <w:rFonts w:ascii="Times New Roman" w:hAnsi="Times New Roman" w:cs="Times New Roman"/>
            <w:sz w:val="26"/>
            <w:szCs w:val="26"/>
            <w:lang w:val="pt-BR"/>
          </w:rPr>
          <w:t>Invest Moldova Agency (gov.md)</w:t>
        </w:r>
      </w:hyperlink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160081AB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2C7B4414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FEF8DA2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74193593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6292B50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746F468B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6BF24252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47E73F7F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D7BC0C8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5F9F83BC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58D9D4A" w14:textId="77777777" w:rsidR="00C716ED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553411EE" w14:textId="77777777" w:rsidR="00811F1C" w:rsidRPr="00F23046" w:rsidRDefault="00811F1C" w:rsidP="00C716ED">
      <w:pPr>
        <w:rPr>
          <w:rFonts w:ascii="Times New Roman" w:hAnsi="Times New Roman" w:cs="Times New Roman"/>
          <w:sz w:val="26"/>
          <w:szCs w:val="26"/>
          <w:lang w:val="it-IT"/>
        </w:rPr>
      </w:pPr>
    </w:p>
    <w:p w14:paraId="375C6A83" w14:textId="77777777" w:rsidR="00811F1C" w:rsidRPr="00F23046" w:rsidRDefault="00811F1C" w:rsidP="00C716ED">
      <w:pPr>
        <w:rPr>
          <w:rFonts w:ascii="Times New Roman" w:hAnsi="Times New Roman" w:cs="Times New Roman"/>
          <w:sz w:val="26"/>
          <w:szCs w:val="26"/>
          <w:lang w:val="it-IT"/>
        </w:rPr>
      </w:pPr>
    </w:p>
    <w:p w14:paraId="5D597AAB" w14:textId="3B85101E" w:rsidR="005534E9" w:rsidRPr="00F23046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F23046">
        <w:rPr>
          <w:rFonts w:ascii="Times New Roman" w:hAnsi="Times New Roman" w:cs="Times New Roman"/>
          <w:sz w:val="26"/>
          <w:szCs w:val="26"/>
          <w:lang w:val="it-IT"/>
        </w:rPr>
        <w:lastRenderedPageBreak/>
        <w:t>  </w:t>
      </w: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510"/>
      </w:tblGrid>
      <w:tr w:rsidR="005534E9" w14:paraId="27CBB6B4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CC3E3F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right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br w:type="page"/>
            </w: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Anexă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120C44A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right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la Regulamentul cu privire la ocuparea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7BB2AC0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right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funcției publice prin concurs - HG 201/2009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107EA84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60B029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FORMULAR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4F7011C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de participare la concursul pentru ocuparea funcției publice vacante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196804B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4688F9FA" w14:textId="77777777" w:rsidR="005534E9" w:rsidRDefault="005534E9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  <w:r w:rsidRPr="005534E9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Autoritatea publică</w:t>
            </w:r>
            <w:r w:rsidRPr="005534E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: </w:t>
            </w:r>
            <w:r w:rsidRPr="005534E9"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  <w:t>Ministerul Afacerilor Externe</w:t>
            </w:r>
          </w:p>
          <w:p w14:paraId="0FEAD972" w14:textId="1E223A2A" w:rsidR="005534E9" w:rsidRPr="00F23046" w:rsidRDefault="005534E9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23046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Funcţia publică solicitată</w:t>
            </w:r>
            <w:r w:rsidRPr="00F23046">
              <w:rPr>
                <w:rFonts w:ascii="Times New Roman" w:hAnsi="Times New Roman"/>
                <w:sz w:val="26"/>
                <w:szCs w:val="26"/>
                <w:lang w:val="it-IT"/>
              </w:rPr>
              <w:t>:</w:t>
            </w:r>
            <w:r w:rsidRPr="00F23046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it-IT"/>
              </w:rPr>
              <w:t xml:space="preserve"> Atașat,</w:t>
            </w:r>
            <w:r w:rsidRPr="00F23046"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  <w:t xml:space="preserve"> </w:t>
            </w:r>
            <w:r w:rsidR="00F23046"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  <w:t xml:space="preserve">Secția </w:t>
            </w:r>
            <w:r w:rsidR="00F23046" w:rsidRPr="00F2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Europa Occidentală, Centrală și de Sud-Est</w:t>
            </w:r>
            <w:r w:rsidRPr="00F23046"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  <w:t>,  Direcția cooperare bilaterală</w:t>
            </w:r>
          </w:p>
          <w:p w14:paraId="3FA493E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I. Date generale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68DBDF0B" w14:textId="77777777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4D2CD56E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Nume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4C61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00DC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Prenume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CCE8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49F11503" w14:textId="77777777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8863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Data nașterii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1779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5E1FA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Domiciliu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B12E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6BC4587F" w14:textId="77777777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FFFE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Cetățenia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9761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4768BBE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401E9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A388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7F02C2B4" w14:textId="77777777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CC9B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Telefon de contact: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3013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mobil: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54E27A5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domiciliu: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D246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E-mail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9EBAA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EBE01C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46D73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7AA91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1F77C0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Codul și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5E5EF6D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adresa poștală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C3029B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3A568868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3814"/>
      </w:tblGrid>
      <w:tr w:rsidR="005534E9" w:rsidRPr="00F23046" w14:paraId="2FEA1D86" w14:textId="77777777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BBCD3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II. Educație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75E6BCE9" w14:textId="0E3F5090" w:rsidR="005534E9" w:rsidRDefault="005534E9" w:rsidP="001970A0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Studii superioare, de licență sau echivalente (ciclul I):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99578C4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B604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Nr.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crt.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9E31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Perioada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95B3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Instituția, localizarea, facultatea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C5A6A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Specialitatea obținută.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Diplomă/certificat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62C0CD65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6AC0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2648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8778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E24A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16091370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4747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575E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8722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1647E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14C2095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B651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2D09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82C0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D20B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708ADEC0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3858"/>
      </w:tblGrid>
      <w:tr w:rsidR="005534E9" w:rsidRPr="00F23046" w14:paraId="2E850441" w14:textId="77777777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9057C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Studii superioare de masterat și/sau doctorat (ciclul II, ciclul III):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D666F56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0EE9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Nr.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crt.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E849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Perioada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1EF0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Instituția, localizarea, facultatea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C76C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Specialitatea, titlul obținut.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Diplomă/certificat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8DB4949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A206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A6B1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BDA8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B403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0C89DF0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73E2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72BD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9A54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599C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6498FF40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FE0B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BE4B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1B7A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ED7C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5C853428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080"/>
      </w:tblGrid>
      <w:tr w:rsidR="005534E9" w:rsidRPr="00F23046" w14:paraId="08085724" w14:textId="77777777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D2ED0A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Cursuri de perfecționare/specializare relevante funcției publice vacante pentru care se organizează concursul: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 </w:t>
            </w:r>
          </w:p>
        </w:tc>
      </w:tr>
      <w:tr w:rsidR="005534E9" w14:paraId="1DABAD29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3AEE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Nr.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crt.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9E84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Perioada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0B82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Instituția, localizarea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540E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Denumirea cursului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6BE9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Diplomă/certificat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418E2500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EB7B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BB03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31C2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C8BB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7D89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799DD30C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E57A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575A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FC5F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B3C7A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BC55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58A3AAF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661A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D2BE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9BD1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71CF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E861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22F9EC65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5534E9" w14:paraId="72CE5C5D" w14:textId="77777777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EA79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Titluri științifice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0684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C0F59D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A486E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98C7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5B2B29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9E45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FAA3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A4EE74F" w14:textId="77777777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A08D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Lucrări științifice, brevete de invenție, publicații etc.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1427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150BD67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C77BA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9CC9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E1C5E7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05461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1ADF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332AEF5C" w14:textId="77777777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1A5E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Apartenența la organizații/asociații profesionale, participarea în grupuri naționale de lucru etc.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61CC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94D232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D79F0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93A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6768737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93CD7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0097A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2D21CC5C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p w14:paraId="04A9A723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eastAsiaTheme="majorEastAsia"/>
          <w:b/>
          <w:bCs/>
          <w:color w:val="000000"/>
        </w:rPr>
      </w:pPr>
      <w:r>
        <w:rPr>
          <w:rStyle w:val="normaltextrun"/>
          <w:rFonts w:eastAsiaTheme="majorEastAsia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7B7DA8A7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eastAsiaTheme="majorEastAsia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lang w:val="ro-RO"/>
        </w:rPr>
        <w:t>(începând cu cea recentă)</w:t>
      </w:r>
      <w:r>
        <w:rPr>
          <w:rStyle w:val="normaltextrun"/>
          <w:rFonts w:eastAsiaTheme="majorEastAsia"/>
          <w:b/>
          <w:bCs/>
          <w:color w:val="000000"/>
          <w:sz w:val="19"/>
          <w:szCs w:val="19"/>
          <w:vertAlign w:val="superscript"/>
          <w:lang w:val="ro-RO"/>
        </w:rPr>
        <w:t>1</w:t>
      </w:r>
      <w:r>
        <w:rPr>
          <w:rStyle w:val="eop"/>
          <w:rFonts w:eastAsiaTheme="majorEastAsia"/>
          <w:color w:val="000000"/>
          <w:sz w:val="19"/>
          <w:szCs w:val="19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123"/>
      </w:tblGrid>
      <w:tr w:rsidR="005534E9" w14:paraId="2D266EB2" w14:textId="77777777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EBBFEB0" w14:textId="77777777" w:rsidR="005534E9" w:rsidRDefault="005534E9">
            <w:pPr>
              <w:rPr>
                <w:rFonts w:ascii="Segoe UI" w:hAnsi="Segoe UI" w:cs="Segoe UI"/>
                <w:sz w:val="18"/>
                <w:szCs w:val="18"/>
                <w:lang w:val="ro-RO"/>
              </w:rPr>
            </w:pPr>
          </w:p>
        </w:tc>
      </w:tr>
      <w:tr w:rsidR="005534E9" w:rsidRPr="00F23046" w14:paraId="174BE109" w14:textId="77777777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1647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Perioada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2</w:t>
            </w:r>
            <w:r>
              <w:rPr>
                <w:rStyle w:val="eop"/>
                <w:rFonts w:eastAsiaTheme="majorEastAsia"/>
                <w:color w:val="000000"/>
                <w:kern w:val="2"/>
                <w:sz w:val="19"/>
                <w:szCs w:val="19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77C0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Organizația, localizarea.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Postul deținut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EC44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Atribuțiile și responsabilitățile de bază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40BD4CD3" w14:textId="77777777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4CD9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F1AF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A4B7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295A7751" w14:textId="77777777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9108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B9E4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4BD9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BB2F0D2" w14:textId="77777777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0250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89B9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6A05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29B80D9E" w14:textId="77777777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D646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0D10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EDF4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:rsidRPr="00F23046" w14:paraId="6E92D598" w14:textId="77777777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F3F0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395237E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1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La necesitate, se adaugă secțiuni suplimentare.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237678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2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Se completează pentru perioadele de exercitare efectivă a atribuțiilor de serviciu.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428B218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65C6DBE1" w14:textId="77777777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190AFA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IV. Competențe (autoevaluare)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:rsidRPr="00F23046" w14:paraId="434FC343" w14:textId="77777777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E366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Abilități manageriale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(se completează pentru funcția publică de conducere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de nivel superior și de conducere)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919C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Nivel de dezvoltare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și manifestare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B06E3A5" w14:textId="777777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2A97E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D43E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înalt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2DBC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mediu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2795067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8162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Planificarea activității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758A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18B4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2A6C4B7F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E53F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Organizarea și coordonarea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6F3D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4FD7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394FE848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9006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Monitorizarea, evaluarea și raportarea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080B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814BA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60A325E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EDB4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Luarea deciziilor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F642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1DD7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71559878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AF79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Soluționarea problemelor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96BF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EE1B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B9B8266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7366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Managementul resurselor umane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E165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C894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6FD0D1F8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6447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Managementul schimbărilor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D790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8B55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6E50AC26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4065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Altele (specificați)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4ED9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B581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36975C45" w14:textId="77777777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916A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5FCD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0F86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67BB8168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5534E9" w:rsidRPr="00F23046" w14:paraId="1D0BFFAF" w14:textId="77777777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0516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Abilități profesionale generice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4D20392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(se completează pentru toate funcțiile publice)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D91B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Nivel de dezvoltare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și manifestare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2EEC824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CAD1F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A623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înalt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6BDC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mediu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120A9D74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E634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Comunicarea interpersonală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2E52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D942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311DA448" w14:textId="77777777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71E7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Soluționarea de conflicte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8A55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B692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45191885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430F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Lucrul în echipă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6CF7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1E55E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F3EF78E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E8A3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Managementul timpului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87EE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821A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70A18C61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BC2C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Altele (specificați)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CFF8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2A0DA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4E4570B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3667E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FAFF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F49F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46EBEA78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lastRenderedPageBreak/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5534E9" w:rsidRPr="00F23046" w14:paraId="5C3679BE" w14:textId="77777777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ED8E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Atitudini/comportamente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7A239C8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(se completează pentru toate funcțiile publice)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826D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Nivel de dezvoltare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și manifestare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37FFDF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948FD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1D90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înalt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F56C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mediu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C4D1626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E8F1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Integritate profesională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5806A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C289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30DA301A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7709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Orientare spre respectarea drepturilor și libertăților fundamentale ale omului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83BC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B48F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:rsidRPr="00F23046" w14:paraId="09A4C6A1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4142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Orientare spre rezultat și calitate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6440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BD5C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70650F3A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4BCB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Spirit de inițiativă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8BB7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C3E7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18F50D0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6268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Flexibilitate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09F4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BFE8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:rsidRPr="00F23046" w14:paraId="57F41EE5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C0D0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Orientare spre dezvoltare profesională continuă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BF09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911F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:rsidRPr="00F23046" w14:paraId="309AEDF5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21BD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Autocontrol și rezistență la stres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21EF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A646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FBE4FFD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7935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Altele (specificați)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D3BF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1484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1CBC1F32" w14:textId="77777777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F7D5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86A0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8F00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780589EB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819"/>
      </w:tblGrid>
      <w:tr w:rsidR="005534E9" w:rsidRPr="00F23046" w14:paraId="29B3AEBD" w14:textId="77777777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788E48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V. Nivel de cunoaștere a limbilor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:rsidRPr="00F23046" w14:paraId="3F943ABE" w14:textId="77777777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35C2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Denumirea limbii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2452A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Calificativ de cunoaștere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(conform Cadrului European Comun de Referință pentru cunoașterea unei limbi)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25A943B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66BD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820B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right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A1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C3EA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A2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CB0F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B1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E9A6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B2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70A3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C1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F7F7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C2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1FBAD534" w14:textId="77777777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7440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8BE9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58E9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BEC9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FCCA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BB35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ABCE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2B1C0E5" w14:textId="77777777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1FDC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1F65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3434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93AC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00C4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E30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CF72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1C8836A9" w14:textId="77777777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842009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671E3E5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E4A1EA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4C874D2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7DA7B27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2577B07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7BB9A8A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30A5AE2A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068"/>
      </w:tblGrid>
      <w:tr w:rsidR="005534E9" w14:paraId="1A17ED69" w14:textId="77777777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1740A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VI. Competențe digitale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4BE3C3DA" w14:textId="77777777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B851A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Programe/aplicații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DF38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Nivel de utilizare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65D93E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D652C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F472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începător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9EB9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intermediar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0489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avansat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25D0CF3A" w14:textId="77777777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111D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MS Word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5382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8C12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6045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7AC3D60" w14:textId="77777777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AAD3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PowerPoint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3622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9703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21C1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1FF68F8E" w14:textId="77777777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B6D8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Excel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4E1B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3892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2C54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27437A8" w14:textId="77777777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E09D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Internet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D1D8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1BCD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79D2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45DE66DE" w14:textId="77777777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8101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Altele (specificați)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EC11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33F3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C037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6C25010" w14:textId="77777777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D1CA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2045E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E7D1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1B5A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67863679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5534E9" w14:paraId="3B4566BC" w14:textId="7777777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E4B6C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VII. Relații de rudenie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B7C861F" w14:textId="77777777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2FDB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90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Relații de rudenie cu demnitarii sau funcționarii autorități publice organizatoare a concursului și/sau autorității în care s-a anunțat funcția publică vacantă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CDB0E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3E6BE27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2B9A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F92B4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59D93F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C290D" w14:textId="77777777" w:rsidR="005534E9" w:rsidRDefault="005534E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FC38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19418CB3" w14:textId="77777777" w:rsidR="005534E9" w:rsidRDefault="005534E9" w:rsidP="005534E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8"/>
        <w:gridCol w:w="2625"/>
        <w:gridCol w:w="2412"/>
      </w:tblGrid>
      <w:tr w:rsidR="005534E9" w14:paraId="58D7D0DD" w14:textId="77777777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BF641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VIII. Referințe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3</w:t>
            </w:r>
            <w:r>
              <w:rPr>
                <w:rStyle w:val="eop"/>
                <w:rFonts w:eastAsiaTheme="majorEastAsia"/>
                <w:color w:val="000000"/>
                <w:kern w:val="2"/>
                <w:sz w:val="19"/>
                <w:szCs w:val="19"/>
                <w:lang w:val="ro-RO"/>
                <w14:ligatures w14:val="standardContextual"/>
              </w:rPr>
              <w:t> </w:t>
            </w:r>
          </w:p>
          <w:p w14:paraId="036F1DD3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55A3CDA8" w14:textId="77777777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49B5E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Nr.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9680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Nume, prenume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97AB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Organizația, postul deținut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5769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Telefon, e-mail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0D41C2C0" w14:textId="77777777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58C7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A49F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4139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0950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799D5C6E" w14:textId="77777777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902BD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ACEF8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2F6C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225B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297C2E9C" w14:textId="77777777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FD35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lastRenderedPageBreak/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B48F6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ABA1E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2E5F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:rsidRPr="00F23046" w14:paraId="55D36313" w14:textId="77777777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14EB4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3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 xml:space="preserve">Se completează 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u w:val="single"/>
                <w:lang w:val="ro-RO"/>
                <w14:ligatures w14:val="standardContextual"/>
              </w:rPr>
              <w:t>în mod obligatoriu pentru ocuparea funcțiilor publice de conducere de nivel superior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, cu indicarea a cel puțin 2 referințe.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9926C5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3152266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>Declar pe propria răspundere că datele înscrise în acest formular sunt veridice. Accept dreptul autorității publice de a verifica datele din formular și din documentele prezentate.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379757F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44167AD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>Declar pe propria răspundere că sunt apt din punctul de vedere al sănătății pentru exercitarea funcției publice.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D7286D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kern w:val="2"/>
                <w:lang w:val="ro-RO"/>
                <w14:ligatures w14:val="standardContextual"/>
              </w:rPr>
              <w:t>constatare al Autorității Naționale de Integritate.</w:t>
            </w:r>
            <w:r>
              <w:rPr>
                <w:rStyle w:val="eop"/>
                <w:rFonts w:eastAsiaTheme="majorEastAsia"/>
                <w:kern w:val="2"/>
                <w:lang w:val="ro-RO"/>
                <w14:ligatures w14:val="standardContextual"/>
              </w:rPr>
              <w:t> </w:t>
            </w:r>
          </w:p>
          <w:p w14:paraId="1DAB6A3B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kern w:val="2"/>
                <w:lang w:val="ro-RO"/>
                <w14:ligatures w14:val="standardContextual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  <w:r>
              <w:rPr>
                <w:rStyle w:val="eop"/>
                <w:rFonts w:eastAsiaTheme="majorEastAsia"/>
                <w:kern w:val="2"/>
                <w:lang w:val="ro-RO"/>
                <w14:ligatures w14:val="standardContextual"/>
              </w:rPr>
              <w:t> </w:t>
            </w:r>
          </w:p>
          <w:p w14:paraId="54170C8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>Declar pe propria răspundere lipsa antecedentelor penale nestinse pentru infracțiuni săvârșite cu intenție.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1348B8F7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(se completează de persoanele care depun dosarul de aplicare pentru concursul de ocupare a unei funcții publice de conducere de nivel superior). 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7ECA35C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7C43F322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5534E9" w14:paraId="61CE15BF" w14:textId="77777777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B655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 ________________________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163B99F9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data completării formularului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8E96B0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04379E61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        _________________          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4C3AACE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semnătura/semnătura electronică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417C8A2F" w14:textId="77777777" w:rsidR="005534E9" w:rsidRDefault="005534E9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2E4C5C03" w14:textId="7A9FBE6E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</w:p>
    <w:p w14:paraId="4272A838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43AC50F9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44AB3820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7794EB07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27096FB8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300FA935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63DB150B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66C32913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680BB530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2432D2DF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lastRenderedPageBreak/>
        <w:t> </w:t>
      </w:r>
    </w:p>
    <w:p w14:paraId="4CD08615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76B4C1FF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0F8342D5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39A7AE23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70D03680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7EC7B8C5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4F08498A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0BFA033C" w14:textId="77777777" w:rsidR="00C716ED" w:rsidRPr="005534E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5534E9">
        <w:rPr>
          <w:rFonts w:ascii="Times New Roman" w:hAnsi="Times New Roman" w:cs="Times New Roman"/>
          <w:sz w:val="26"/>
          <w:szCs w:val="26"/>
        </w:rPr>
        <w:t> </w:t>
      </w:r>
    </w:p>
    <w:p w14:paraId="5241284D" w14:textId="1544FD7A" w:rsidR="00C716ED" w:rsidRPr="00A974E5" w:rsidRDefault="00C716ED" w:rsidP="005534E9">
      <w:pPr>
        <w:rPr>
          <w:rFonts w:ascii="Times New Roman" w:hAnsi="Times New Roman" w:cs="Times New Roman"/>
          <w:lang w:val="ro-RO"/>
        </w:rPr>
      </w:pPr>
      <w:r w:rsidRPr="00C716ED">
        <w:rPr>
          <w:rFonts w:ascii="Times New Roman" w:hAnsi="Times New Roman" w:cs="Times New Roman"/>
        </w:rPr>
        <w:t> </w:t>
      </w:r>
    </w:p>
    <w:p w14:paraId="08C0919F" w14:textId="77777777" w:rsidR="00C716ED" w:rsidRPr="00A974E5" w:rsidRDefault="00C716ED">
      <w:pPr>
        <w:rPr>
          <w:rFonts w:ascii="Times New Roman" w:hAnsi="Times New Roman" w:cs="Times New Roman"/>
          <w:lang w:val="ro-RO"/>
        </w:rPr>
      </w:pPr>
    </w:p>
    <w:sectPr w:rsidR="00C716ED" w:rsidRPr="00A974E5" w:rsidSect="001B5193"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F6A"/>
    <w:multiLevelType w:val="multilevel"/>
    <w:tmpl w:val="AC9C54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647DF"/>
    <w:multiLevelType w:val="multilevel"/>
    <w:tmpl w:val="09CE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416CB"/>
    <w:multiLevelType w:val="multilevel"/>
    <w:tmpl w:val="302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71BF9"/>
    <w:multiLevelType w:val="multilevel"/>
    <w:tmpl w:val="A17A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972A1"/>
    <w:multiLevelType w:val="multilevel"/>
    <w:tmpl w:val="A090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76B75"/>
    <w:multiLevelType w:val="multilevel"/>
    <w:tmpl w:val="77A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2121B"/>
    <w:multiLevelType w:val="multilevel"/>
    <w:tmpl w:val="AB32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233CB9"/>
    <w:multiLevelType w:val="multilevel"/>
    <w:tmpl w:val="841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77ACD"/>
    <w:multiLevelType w:val="multilevel"/>
    <w:tmpl w:val="B0AC5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C397A"/>
    <w:multiLevelType w:val="multilevel"/>
    <w:tmpl w:val="6290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C41FBB"/>
    <w:multiLevelType w:val="multilevel"/>
    <w:tmpl w:val="DBC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D1030B"/>
    <w:multiLevelType w:val="multilevel"/>
    <w:tmpl w:val="BFA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2B6EF7"/>
    <w:multiLevelType w:val="multilevel"/>
    <w:tmpl w:val="A00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2D3921"/>
    <w:multiLevelType w:val="multilevel"/>
    <w:tmpl w:val="C86C67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97C66"/>
    <w:multiLevelType w:val="multilevel"/>
    <w:tmpl w:val="2CF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475190"/>
    <w:multiLevelType w:val="multilevel"/>
    <w:tmpl w:val="7FEE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DA2A20"/>
    <w:multiLevelType w:val="multilevel"/>
    <w:tmpl w:val="AA2CD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5104F"/>
    <w:multiLevelType w:val="multilevel"/>
    <w:tmpl w:val="A5E82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7723A"/>
    <w:multiLevelType w:val="multilevel"/>
    <w:tmpl w:val="F9B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1A4B4D"/>
    <w:multiLevelType w:val="multilevel"/>
    <w:tmpl w:val="FE7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C66847"/>
    <w:multiLevelType w:val="multilevel"/>
    <w:tmpl w:val="8F06765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3B0788"/>
    <w:multiLevelType w:val="multilevel"/>
    <w:tmpl w:val="48C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FF10B7"/>
    <w:multiLevelType w:val="multilevel"/>
    <w:tmpl w:val="BB9E123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F5C50"/>
    <w:multiLevelType w:val="multilevel"/>
    <w:tmpl w:val="639CF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A1D2D"/>
    <w:multiLevelType w:val="multilevel"/>
    <w:tmpl w:val="123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E00F15"/>
    <w:multiLevelType w:val="multilevel"/>
    <w:tmpl w:val="8DD2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09080B"/>
    <w:multiLevelType w:val="multilevel"/>
    <w:tmpl w:val="5D1C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EA46F4"/>
    <w:multiLevelType w:val="multilevel"/>
    <w:tmpl w:val="81B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A9472B"/>
    <w:multiLevelType w:val="multilevel"/>
    <w:tmpl w:val="041C2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B20FF"/>
    <w:multiLevelType w:val="multilevel"/>
    <w:tmpl w:val="19DC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80211"/>
    <w:multiLevelType w:val="multilevel"/>
    <w:tmpl w:val="CC0A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FD5C63"/>
    <w:multiLevelType w:val="multilevel"/>
    <w:tmpl w:val="143A4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861C56"/>
    <w:multiLevelType w:val="multilevel"/>
    <w:tmpl w:val="B0E6F1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DC691A"/>
    <w:multiLevelType w:val="multilevel"/>
    <w:tmpl w:val="91F00F8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AA5968"/>
    <w:multiLevelType w:val="multilevel"/>
    <w:tmpl w:val="5FBA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92623C"/>
    <w:multiLevelType w:val="multilevel"/>
    <w:tmpl w:val="B8E6C7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113541">
    <w:abstractNumId w:val="29"/>
  </w:num>
  <w:num w:numId="2" w16cid:durableId="2004123188">
    <w:abstractNumId w:val="16"/>
  </w:num>
  <w:num w:numId="3" w16cid:durableId="1641614809">
    <w:abstractNumId w:val="31"/>
  </w:num>
  <w:num w:numId="4" w16cid:durableId="480343806">
    <w:abstractNumId w:val="32"/>
  </w:num>
  <w:num w:numId="5" w16cid:durableId="324282497">
    <w:abstractNumId w:val="23"/>
  </w:num>
  <w:num w:numId="6" w16cid:durableId="764034687">
    <w:abstractNumId w:val="3"/>
  </w:num>
  <w:num w:numId="7" w16cid:durableId="415250446">
    <w:abstractNumId w:val="18"/>
  </w:num>
  <w:num w:numId="8" w16cid:durableId="424038540">
    <w:abstractNumId w:val="10"/>
  </w:num>
  <w:num w:numId="9" w16cid:durableId="931670218">
    <w:abstractNumId w:val="26"/>
  </w:num>
  <w:num w:numId="10" w16cid:durableId="921570631">
    <w:abstractNumId w:val="34"/>
  </w:num>
  <w:num w:numId="11" w16cid:durableId="2002732683">
    <w:abstractNumId w:val="8"/>
  </w:num>
  <w:num w:numId="12" w16cid:durableId="946933663">
    <w:abstractNumId w:val="0"/>
  </w:num>
  <w:num w:numId="13" w16cid:durableId="1710258632">
    <w:abstractNumId w:val="35"/>
  </w:num>
  <w:num w:numId="14" w16cid:durableId="1957104563">
    <w:abstractNumId w:val="20"/>
  </w:num>
  <w:num w:numId="15" w16cid:durableId="185756663">
    <w:abstractNumId w:val="33"/>
  </w:num>
  <w:num w:numId="16" w16cid:durableId="82605399">
    <w:abstractNumId w:val="13"/>
  </w:num>
  <w:num w:numId="17" w16cid:durableId="1571574079">
    <w:abstractNumId w:val="22"/>
  </w:num>
  <w:num w:numId="18" w16cid:durableId="1298684059">
    <w:abstractNumId w:val="11"/>
  </w:num>
  <w:num w:numId="19" w16cid:durableId="1760903107">
    <w:abstractNumId w:val="1"/>
  </w:num>
  <w:num w:numId="20" w16cid:durableId="1987855982">
    <w:abstractNumId w:val="30"/>
  </w:num>
  <w:num w:numId="21" w16cid:durableId="1976443510">
    <w:abstractNumId w:val="12"/>
  </w:num>
  <w:num w:numId="22" w16cid:durableId="1655185997">
    <w:abstractNumId w:val="21"/>
  </w:num>
  <w:num w:numId="23" w16cid:durableId="1111170550">
    <w:abstractNumId w:val="7"/>
  </w:num>
  <w:num w:numId="24" w16cid:durableId="668364282">
    <w:abstractNumId w:val="9"/>
  </w:num>
  <w:num w:numId="25" w16cid:durableId="1296637149">
    <w:abstractNumId w:val="25"/>
  </w:num>
  <w:num w:numId="26" w16cid:durableId="450518895">
    <w:abstractNumId w:val="2"/>
  </w:num>
  <w:num w:numId="27" w16cid:durableId="281621455">
    <w:abstractNumId w:val="28"/>
  </w:num>
  <w:num w:numId="28" w16cid:durableId="1006636272">
    <w:abstractNumId w:val="17"/>
  </w:num>
  <w:num w:numId="29" w16cid:durableId="58095262">
    <w:abstractNumId w:val="5"/>
  </w:num>
  <w:num w:numId="30" w16cid:durableId="1558543028">
    <w:abstractNumId w:val="24"/>
  </w:num>
  <w:num w:numId="31" w16cid:durableId="1582907470">
    <w:abstractNumId w:val="6"/>
  </w:num>
  <w:num w:numId="32" w16cid:durableId="2059477906">
    <w:abstractNumId w:val="15"/>
  </w:num>
  <w:num w:numId="33" w16cid:durableId="24722517">
    <w:abstractNumId w:val="27"/>
  </w:num>
  <w:num w:numId="34" w16cid:durableId="408772865">
    <w:abstractNumId w:val="19"/>
  </w:num>
  <w:num w:numId="35" w16cid:durableId="1442799468">
    <w:abstractNumId w:val="14"/>
  </w:num>
  <w:num w:numId="36" w16cid:durableId="1975791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ED"/>
    <w:rsid w:val="00056058"/>
    <w:rsid w:val="000E503A"/>
    <w:rsid w:val="001970A0"/>
    <w:rsid w:val="001B45D7"/>
    <w:rsid w:val="001B5193"/>
    <w:rsid w:val="001C148D"/>
    <w:rsid w:val="002563F0"/>
    <w:rsid w:val="003465EE"/>
    <w:rsid w:val="00346FC7"/>
    <w:rsid w:val="00484DAC"/>
    <w:rsid w:val="00486BE1"/>
    <w:rsid w:val="00487433"/>
    <w:rsid w:val="005534E9"/>
    <w:rsid w:val="005F1611"/>
    <w:rsid w:val="006520E9"/>
    <w:rsid w:val="006D37F0"/>
    <w:rsid w:val="006E4C7E"/>
    <w:rsid w:val="00771BDA"/>
    <w:rsid w:val="00811F1C"/>
    <w:rsid w:val="008A1990"/>
    <w:rsid w:val="008B2574"/>
    <w:rsid w:val="00A12095"/>
    <w:rsid w:val="00A974E5"/>
    <w:rsid w:val="00B93788"/>
    <w:rsid w:val="00C101ED"/>
    <w:rsid w:val="00C31A7C"/>
    <w:rsid w:val="00C43719"/>
    <w:rsid w:val="00C716ED"/>
    <w:rsid w:val="00CC443B"/>
    <w:rsid w:val="00E01179"/>
    <w:rsid w:val="00E51A23"/>
    <w:rsid w:val="00F2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28C5"/>
  <w15:chartTrackingRefBased/>
  <w15:docId w15:val="{BCDEA1C5-387A-42F1-8979-ADD758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6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16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E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5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o-MD" w:eastAsia="ro-MD"/>
      <w14:ligatures w14:val="none"/>
    </w:rPr>
  </w:style>
  <w:style w:type="character" w:customStyle="1" w:styleId="normaltextrun">
    <w:name w:val="normaltextrun"/>
    <w:basedOn w:val="DefaultParagraphFont"/>
    <w:rsid w:val="005534E9"/>
  </w:style>
  <w:style w:type="character" w:customStyle="1" w:styleId="eop">
    <w:name w:val="eop"/>
    <w:basedOn w:val="DefaultParagraphFont"/>
    <w:rsid w:val="005534E9"/>
  </w:style>
  <w:style w:type="character" w:customStyle="1" w:styleId="scxw229003540">
    <w:name w:val="scxw229003540"/>
    <w:basedOn w:val="DefaultParagraphFont"/>
    <w:rsid w:val="0055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sites/default/files/swd_2021_295_f1_joint_staff_working_paper_en_v2_p1_1535649.pdf" TargetMode="External"/><Relationship Id="rId13" Type="http://schemas.openxmlformats.org/officeDocument/2006/relationships/hyperlink" Target="http://www.eumission.mfa.md/" TargetMode="External"/><Relationship Id="rId18" Type="http://schemas.openxmlformats.org/officeDocument/2006/relationships/hyperlink" Target="https://invest.gov.m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a.gov.md/" TargetMode="External"/><Relationship Id="rId12" Type="http://schemas.openxmlformats.org/officeDocument/2006/relationships/hyperlink" Target="http://mfa.gov.md/" TargetMode="External"/><Relationship Id="rId17" Type="http://schemas.openxmlformats.org/officeDocument/2006/relationships/hyperlink" Target="http://www.eur-lex.europa.e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trade/policy/countries-and-regions/countries/moldov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ruc@mfa.gov.md" TargetMode="External"/><Relationship Id="rId11" Type="http://schemas.openxmlformats.org/officeDocument/2006/relationships/hyperlink" Target="http://www.gov.md/" TargetMode="External"/><Relationship Id="rId5" Type="http://schemas.openxmlformats.org/officeDocument/2006/relationships/hyperlink" Target="mailto:sruc@mfa.gov.md" TargetMode="External"/><Relationship Id="rId15" Type="http://schemas.openxmlformats.org/officeDocument/2006/relationships/hyperlink" Target="http://europa.eu/index_ro.htm" TargetMode="External"/><Relationship Id="rId10" Type="http://schemas.openxmlformats.org/officeDocument/2006/relationships/hyperlink" Target="https://eeas.europa.eu/diplomatic-network/eastern-partnership/1538/republic-moldova-and-eu_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a.gov.md/img/docs/Raport-consolidat-implementarea-2017-PNA-AA-2017-2019.pdf" TargetMode="External"/><Relationship Id="rId14" Type="http://schemas.openxmlformats.org/officeDocument/2006/relationships/hyperlink" Target="http://eeas.europa.eu/delegations/moldova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Manoli</dc:creator>
  <cp:keywords/>
  <dc:description/>
  <cp:lastModifiedBy>Vadim Sestopalov</cp:lastModifiedBy>
  <cp:revision>2</cp:revision>
  <dcterms:created xsi:type="dcterms:W3CDTF">2025-09-02T06:22:00Z</dcterms:created>
  <dcterms:modified xsi:type="dcterms:W3CDTF">2025-09-02T06:22:00Z</dcterms:modified>
</cp:coreProperties>
</file>